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0C39" w14:textId="77777777" w:rsidR="00B776A4" w:rsidRPr="00B776A4" w:rsidRDefault="00B776A4" w:rsidP="00B776A4">
      <w:pPr>
        <w:shd w:val="clear" w:color="auto" w:fill="FFFFFF"/>
        <w:spacing w:before="330" w:after="165" w:line="240" w:lineRule="auto"/>
        <w:outlineLvl w:val="0"/>
        <w:rPr>
          <w:rFonts w:ascii="Lucida Sans Unicode" w:eastAsia="Times New Roman" w:hAnsi="Lucida Sans Unicode" w:cs="Lucida Sans Unicode"/>
          <w:color w:val="E6ED15"/>
          <w:kern w:val="36"/>
          <w:sz w:val="62"/>
          <w:szCs w:val="62"/>
          <w:lang w:eastAsia="nl-NL"/>
        </w:rPr>
      </w:pPr>
      <w:r w:rsidRPr="00B776A4">
        <w:rPr>
          <w:rFonts w:ascii="Lucida Sans Unicode" w:eastAsia="Times New Roman" w:hAnsi="Lucida Sans Unicode" w:cs="Lucida Sans Unicode"/>
          <w:color w:val="E6ED15"/>
          <w:kern w:val="36"/>
          <w:sz w:val="62"/>
          <w:szCs w:val="62"/>
          <w:lang w:eastAsia="nl-NL"/>
        </w:rPr>
        <w:t>Programma</w:t>
      </w:r>
    </w:p>
    <w:p w14:paraId="1D1BB3F6" w14:textId="77777777" w:rsidR="00B776A4" w:rsidRPr="00B776A4" w:rsidRDefault="00B776A4" w:rsidP="00B776A4">
      <w:pPr>
        <w:shd w:val="clear" w:color="auto" w:fill="FFFFFF"/>
        <w:spacing w:after="165" w:line="240" w:lineRule="auto"/>
        <w:rPr>
          <w:rFonts w:ascii="Calibri" w:eastAsia="Times New Roman" w:hAnsi="Calibri" w:cs="Calibri"/>
          <w:color w:val="4D4D4D"/>
          <w:sz w:val="24"/>
          <w:szCs w:val="24"/>
          <w:lang w:eastAsia="nl-NL"/>
        </w:rPr>
      </w:pPr>
      <w:r w:rsidRPr="00B776A4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  <w:t>Tot hier! </w:t>
      </w:r>
      <w:r w:rsidRPr="00B776A4">
        <w:rPr>
          <w:rFonts w:ascii="Calibri" w:eastAsia="Times New Roman" w:hAnsi="Calibri" w:cs="Calibri"/>
          <w:b/>
          <w:bCs/>
          <w:i/>
          <w:iCs/>
          <w:color w:val="4D4D4D"/>
          <w:sz w:val="24"/>
          <w:szCs w:val="24"/>
          <w:lang w:eastAsia="nl-NL"/>
        </w:rPr>
        <w:t>Of toch nog wat verder?</w:t>
      </w:r>
      <w:r w:rsidRPr="00B776A4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  <w:t> Over de grenzen van psychotherapie </w:t>
      </w:r>
    </w:p>
    <w:p w14:paraId="154C501F" w14:textId="77777777" w:rsidR="00B776A4" w:rsidRDefault="00B776A4" w:rsidP="00B776A4">
      <w:pPr>
        <w:shd w:val="clear" w:color="auto" w:fill="FFFFFF"/>
        <w:spacing w:after="165" w:line="240" w:lineRule="auto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</w:pPr>
    </w:p>
    <w:p w14:paraId="7F0E4971" w14:textId="77777777" w:rsidR="00B776A4" w:rsidRDefault="00B776A4" w:rsidP="00B776A4">
      <w:pPr>
        <w:shd w:val="clear" w:color="auto" w:fill="FFFFFF"/>
        <w:spacing w:after="165" w:line="240" w:lineRule="auto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</w:pPr>
      <w:r w:rsidRPr="00B776A4">
        <w:rPr>
          <w:rFonts w:ascii="Calibri" w:eastAsia="Times New Roman" w:hAnsi="Calibri" w:cs="Calibri"/>
          <w:b/>
          <w:bCs/>
          <w:color w:val="4D4D4D"/>
          <w:sz w:val="27"/>
          <w:szCs w:val="27"/>
          <w:lang w:eastAsia="nl-NL"/>
        </w:rPr>
        <w:t>Ochtend</w:t>
      </w:r>
      <w:r>
        <w:rPr>
          <w:rFonts w:ascii="Calibri" w:eastAsia="Times New Roman" w:hAnsi="Calibri" w:cs="Calibri"/>
          <w:b/>
          <w:bCs/>
          <w:color w:val="4D4D4D"/>
          <w:sz w:val="27"/>
          <w:szCs w:val="27"/>
          <w:lang w:eastAsia="nl-NL"/>
        </w:rPr>
        <w:t>programma</w:t>
      </w:r>
      <w:r w:rsidRPr="00B776A4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  <w:t>   </w:t>
      </w:r>
    </w:p>
    <w:p w14:paraId="3404992A" w14:textId="34717124" w:rsidR="00B776A4" w:rsidRPr="00B776A4" w:rsidRDefault="00B776A4" w:rsidP="00B776A4">
      <w:pPr>
        <w:shd w:val="clear" w:color="auto" w:fill="FFFFFF"/>
        <w:spacing w:after="165" w:line="240" w:lineRule="auto"/>
        <w:rPr>
          <w:rFonts w:ascii="Calibri" w:eastAsia="Times New Roman" w:hAnsi="Calibri" w:cs="Calibri"/>
          <w:color w:val="4D4D4D"/>
          <w:sz w:val="24"/>
          <w:szCs w:val="24"/>
          <w:lang w:eastAsia="nl-NL"/>
        </w:rPr>
      </w:pPr>
      <w:r w:rsidRPr="00B776A4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  <w:t xml:space="preserve">Masterclass Glen </w:t>
      </w:r>
      <w:proofErr w:type="spellStart"/>
      <w:r w:rsidRPr="00B776A4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nl-NL"/>
        </w:rPr>
        <w:t>Gabbard</w:t>
      </w:r>
      <w:proofErr w:type="spellEnd"/>
      <w:r w:rsidRPr="00B776A4">
        <w:rPr>
          <w:rFonts w:ascii="Calibri" w:eastAsia="Times New Roman" w:hAnsi="Calibri" w:cs="Calibri"/>
          <w:b/>
          <w:bCs/>
          <w:i/>
          <w:iCs/>
          <w:color w:val="4D4D4D"/>
          <w:sz w:val="24"/>
          <w:szCs w:val="24"/>
          <w:lang w:eastAsia="nl-NL"/>
        </w:rPr>
        <w:t> (met medewerking van RINO Groep)</w:t>
      </w:r>
    </w:p>
    <w:p w14:paraId="2F74BC45" w14:textId="77777777" w:rsidR="00B776A4" w:rsidRPr="00B776A4" w:rsidRDefault="00B776A4" w:rsidP="00B776A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proofErr w:type="spellStart"/>
      <w:r w:rsidRPr="00B776A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Narcissism</w:t>
      </w:r>
      <w:proofErr w:type="spellEnd"/>
      <w:r w:rsidRPr="00B776A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and</w:t>
      </w:r>
      <w:proofErr w:type="spellEnd"/>
      <w:r w:rsidRPr="00B776A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Its</w:t>
      </w:r>
      <w:proofErr w:type="spellEnd"/>
      <w:r w:rsidRPr="00B776A4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Discontents</w:t>
      </w:r>
    </w:p>
    <w:p w14:paraId="2C677F01" w14:textId="77777777" w:rsidR="00B776A4" w:rsidRPr="00B776A4" w:rsidRDefault="00B776A4" w:rsidP="00B776A4">
      <w:pPr>
        <w:shd w:val="clear" w:color="auto" w:fill="FFFFFF"/>
        <w:spacing w:after="165" w:line="240" w:lineRule="auto"/>
        <w:jc w:val="both"/>
        <w:rPr>
          <w:rFonts w:ascii="Calibri" w:eastAsia="Times New Roman" w:hAnsi="Calibri" w:cs="Calibri"/>
          <w:color w:val="4D4D4D"/>
          <w:sz w:val="24"/>
          <w:szCs w:val="24"/>
          <w:lang w:eastAsia="nl-NL"/>
        </w:rPr>
      </w:pP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Narcissism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is a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trait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found in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many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patients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who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come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to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psychotherapy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and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psychoanalysis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.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Patients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with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narcissistic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personality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disorders present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many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challenges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to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clinicians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that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make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them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particularly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difficult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to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treat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. In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this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Master Class, Glen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Gabbard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will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present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an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overview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and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stress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the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pleomorphism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of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this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diagnostic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spectrum,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and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how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one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must change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the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treatment approach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depending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on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the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specific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characteristics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of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the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 xml:space="preserve"> </w:t>
      </w:r>
      <w:proofErr w:type="spellStart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patient</w:t>
      </w:r>
      <w:proofErr w:type="spellEnd"/>
      <w:r w:rsidRPr="00B776A4">
        <w:rPr>
          <w:rFonts w:ascii="Calibri" w:eastAsia="Times New Roman" w:hAnsi="Calibri" w:cs="Calibri"/>
          <w:color w:val="4D4D4D"/>
          <w:sz w:val="24"/>
          <w:szCs w:val="24"/>
          <w:lang w:eastAsia="nl-NL"/>
        </w:rPr>
        <w:t>.</w:t>
      </w:r>
    </w:p>
    <w:tbl>
      <w:tblPr>
        <w:tblW w:w="7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6139"/>
      </w:tblGrid>
      <w:tr w:rsidR="00B776A4" w:rsidRPr="00B776A4" w14:paraId="3D58B1CF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01E56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9.15  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87BF8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Ontvangst</w:t>
            </w:r>
          </w:p>
        </w:tc>
      </w:tr>
      <w:tr w:rsidR="00B776A4" w:rsidRPr="00B776A4" w14:paraId="5237BF3A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A2E70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9.45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4492B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Opening voorzitter </w:t>
            </w: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Sjoerd Colijn</w:t>
            </w:r>
          </w:p>
        </w:tc>
      </w:tr>
      <w:tr w:rsidR="00B776A4" w:rsidRPr="00B776A4" w14:paraId="6ED26F44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FEE49" w14:textId="77777777" w:rsidR="00B776A4" w:rsidRPr="00B776A4" w:rsidRDefault="00B776A4" w:rsidP="00B776A4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10.00- 11.00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534AB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Narcissism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and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Its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Discontents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br/>
            </w: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Glen </w:t>
            </w:r>
            <w:proofErr w:type="spellStart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Gabbard</w:t>
            </w:r>
            <w:proofErr w:type="spellEnd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 </w:t>
            </w:r>
            <w:r w:rsidRPr="00B776A4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(live stream)</w:t>
            </w:r>
          </w:p>
        </w:tc>
      </w:tr>
      <w:tr w:rsidR="00B776A4" w:rsidRPr="00B776A4" w14:paraId="4D52801D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37A2B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11.00- 11.30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27DD8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Vragen</w:t>
            </w:r>
          </w:p>
        </w:tc>
      </w:tr>
      <w:tr w:rsidR="00B776A4" w:rsidRPr="00B776A4" w14:paraId="59DE5077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9BEA9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11.30- 11.45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4957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Pauze</w:t>
            </w:r>
          </w:p>
        </w:tc>
      </w:tr>
      <w:tr w:rsidR="00B776A4" w:rsidRPr="00B776A4" w14:paraId="27B014F1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1D878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11.45- 12.45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5B5E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Casuïstiek</w:t>
            </w:r>
          </w:p>
        </w:tc>
      </w:tr>
      <w:tr w:rsidR="00B776A4" w:rsidRPr="00B776A4" w14:paraId="68B1A9F3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03BB1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12.45- 13.30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BC7B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Lunch</w:t>
            </w:r>
          </w:p>
        </w:tc>
      </w:tr>
    </w:tbl>
    <w:p w14:paraId="5C398A54" w14:textId="77777777" w:rsidR="00B776A4" w:rsidRDefault="00B776A4" w:rsidP="00B776A4">
      <w:pPr>
        <w:shd w:val="clear" w:color="auto" w:fill="FFFFFF"/>
        <w:spacing w:after="165" w:line="240" w:lineRule="auto"/>
        <w:rPr>
          <w:rFonts w:ascii="Calibri" w:eastAsia="Times New Roman" w:hAnsi="Calibri" w:cs="Calibri"/>
          <w:b/>
          <w:bCs/>
          <w:color w:val="4D4D4D"/>
          <w:sz w:val="27"/>
          <w:szCs w:val="27"/>
          <w:lang w:eastAsia="nl-NL"/>
        </w:rPr>
      </w:pPr>
    </w:p>
    <w:p w14:paraId="02D1C55E" w14:textId="175CBFDF" w:rsidR="00B776A4" w:rsidRPr="00B776A4" w:rsidRDefault="00B776A4" w:rsidP="00B776A4">
      <w:pPr>
        <w:shd w:val="clear" w:color="auto" w:fill="FFFFFF"/>
        <w:spacing w:after="165" w:line="240" w:lineRule="auto"/>
        <w:rPr>
          <w:rFonts w:ascii="Calibri" w:eastAsia="Times New Roman" w:hAnsi="Calibri" w:cs="Calibri"/>
          <w:color w:val="4D4D4D"/>
          <w:sz w:val="27"/>
          <w:szCs w:val="27"/>
          <w:lang w:eastAsia="nl-NL"/>
        </w:rPr>
      </w:pPr>
      <w:r w:rsidRPr="00B776A4">
        <w:rPr>
          <w:rFonts w:ascii="Calibri" w:eastAsia="Times New Roman" w:hAnsi="Calibri" w:cs="Calibri"/>
          <w:b/>
          <w:bCs/>
          <w:color w:val="4D4D4D"/>
          <w:sz w:val="27"/>
          <w:szCs w:val="27"/>
          <w:lang w:eastAsia="nl-NL"/>
        </w:rPr>
        <w:t> Middagprogramma </w:t>
      </w:r>
      <w:r w:rsidRPr="00B776A4">
        <w:rPr>
          <w:rFonts w:ascii="Calibri" w:eastAsia="Times New Roman" w:hAnsi="Calibri" w:cs="Calibri"/>
          <w:b/>
          <w:bCs/>
          <w:i/>
          <w:iCs/>
          <w:color w:val="4D4D4D"/>
          <w:sz w:val="27"/>
          <w:szCs w:val="27"/>
          <w:lang w:eastAsia="nl-NL"/>
        </w:rPr>
        <w:t> </w:t>
      </w:r>
      <w:r w:rsidRPr="00B776A4">
        <w:rPr>
          <w:rFonts w:ascii="Calibri" w:eastAsia="Times New Roman" w:hAnsi="Calibri" w:cs="Calibri"/>
          <w:b/>
          <w:bCs/>
          <w:color w:val="4D4D4D"/>
          <w:sz w:val="27"/>
          <w:szCs w:val="27"/>
          <w:lang w:eastAsia="nl-NL"/>
        </w:rPr>
        <w:t>         </w:t>
      </w:r>
    </w:p>
    <w:tbl>
      <w:tblPr>
        <w:tblW w:w="9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944"/>
      </w:tblGrid>
      <w:tr w:rsidR="00B776A4" w:rsidRPr="00B776A4" w14:paraId="57812CA2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D64D1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12.45-13.30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16C35" w14:textId="00B86825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Ontvangst met lunch</w:t>
            </w:r>
          </w:p>
        </w:tc>
      </w:tr>
      <w:tr w:rsidR="00B776A4" w:rsidRPr="00B776A4" w14:paraId="465E14A8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149A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13.30-13.40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511F0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Opening</w:t>
            </w:r>
          </w:p>
        </w:tc>
      </w:tr>
      <w:tr w:rsidR="00B776A4" w:rsidRPr="00B776A4" w14:paraId="3C4446F9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B3D29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13.40- 13.50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6165A" w14:textId="77777777" w:rsidR="00B776A4" w:rsidRPr="00B776A4" w:rsidRDefault="00B776A4" w:rsidP="00B77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Kirsten Hauber,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 voorzitter NVP</w:t>
            </w:r>
          </w:p>
        </w:tc>
      </w:tr>
      <w:tr w:rsidR="00B776A4" w:rsidRPr="00B776A4" w14:paraId="50082BC2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394DA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14.00-14.45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2333A" w14:textId="1D96C9AA" w:rsidR="00B776A4" w:rsidRPr="00B776A4" w:rsidRDefault="00B776A4" w:rsidP="00B776A4">
            <w:pPr>
              <w:spacing w:after="0" w:line="240" w:lineRule="auto"/>
              <w:ind w:right="-120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Glen </w:t>
            </w:r>
            <w:proofErr w:type="spellStart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Gabbard</w:t>
            </w:r>
            <w:proofErr w:type="spellEnd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 </w:t>
            </w:r>
            <w:r w:rsidRPr="00B776A4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(live stream)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Persistence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sexual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 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Boundary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Violations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our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ield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  <w:p w14:paraId="29843594" w14:textId="77777777" w:rsidR="00B776A4" w:rsidRPr="00B776A4" w:rsidRDefault="00B776A4" w:rsidP="00B776A4">
            <w:pPr>
              <w:spacing w:after="0" w:line="240" w:lineRule="auto"/>
              <w:ind w:right="-120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persistence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sexual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boundary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violations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our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field is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deeply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disconcerting.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After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decades of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publications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about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the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problem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numerous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cases continue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to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surface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among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psychotherapists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and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psychoanalysts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around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the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world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In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this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presentation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, Glen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Gabbard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will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draw on his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experience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of consulting on over 300 cases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involving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sexual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misconduct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and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will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speculate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on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some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the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psychodynamic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themes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that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account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for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these </w:t>
            </w: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transgressions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</w:p>
        </w:tc>
      </w:tr>
      <w:tr w:rsidR="00B776A4" w:rsidRPr="00B776A4" w14:paraId="050C2091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385C5" w14:textId="77777777" w:rsidR="00B776A4" w:rsidRPr="00B776A4" w:rsidRDefault="00B776A4" w:rsidP="00B776A4">
            <w:pPr>
              <w:spacing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14.45-15.00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FBDAB" w14:textId="77777777" w:rsidR="00B776A4" w:rsidRPr="00B776A4" w:rsidRDefault="00B776A4" w:rsidP="00B776A4">
            <w:pPr>
              <w:spacing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Gabbard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beantwoordt vragen van de zaal</w:t>
            </w:r>
          </w:p>
        </w:tc>
      </w:tr>
      <w:tr w:rsidR="00B776A4" w:rsidRPr="00B776A4" w14:paraId="59F213EA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A0D2E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15.00-15.45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86185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Grenzen in de therapiekamer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br/>
            </w: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Coen </w:t>
            </w:r>
            <w:proofErr w:type="spellStart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Verbraak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 met </w:t>
            </w: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Suzy Matthijssen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 en </w:t>
            </w: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Greet Vanaerschot</w:t>
            </w:r>
          </w:p>
        </w:tc>
      </w:tr>
      <w:tr w:rsidR="00B776A4" w:rsidRPr="00B776A4" w14:paraId="55A04D53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2E7BA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15.45-16.15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09DBE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Pauze</w:t>
            </w:r>
          </w:p>
        </w:tc>
      </w:tr>
      <w:tr w:rsidR="00B776A4" w:rsidRPr="00B776A4" w14:paraId="5D65E795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3580D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16.15-17.00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5979B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Lessen uit de praktijk</w:t>
            </w: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br/>
            </w:r>
            <w:proofErr w:type="spellStart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Emke</w:t>
            </w:r>
            <w:proofErr w:type="spellEnd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 Plomp</w:t>
            </w:r>
          </w:p>
        </w:tc>
      </w:tr>
      <w:tr w:rsidR="00B776A4" w:rsidRPr="00B776A4" w14:paraId="21A7EF4C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1A8B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17.00-17.30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1110D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Coen </w:t>
            </w:r>
            <w:proofErr w:type="spellStart"/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Verbraak</w:t>
            </w:r>
            <w:proofErr w:type="spellEnd"/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 in gesprek met </w:t>
            </w:r>
            <w:r w:rsidRPr="00B776A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Bart Chabot</w:t>
            </w:r>
          </w:p>
        </w:tc>
      </w:tr>
      <w:tr w:rsidR="00B776A4" w:rsidRPr="00B776A4" w14:paraId="6746AFA2" w14:textId="77777777" w:rsidTr="00B776A4">
        <w:tc>
          <w:tcPr>
            <w:tcW w:w="15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40CB4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823EA" w14:textId="77777777" w:rsidR="00B776A4" w:rsidRPr="00B776A4" w:rsidRDefault="00B776A4" w:rsidP="00B776A4">
            <w:pPr>
              <w:spacing w:after="0" w:line="240" w:lineRule="auto"/>
              <w:ind w:right="-12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76A4">
              <w:rPr>
                <w:rFonts w:eastAsia="Times New Roman" w:cstheme="minorHAnsi"/>
                <w:sz w:val="24"/>
                <w:szCs w:val="24"/>
                <w:lang w:eastAsia="nl-NL"/>
              </w:rPr>
              <w:t>Afsluiting</w:t>
            </w:r>
          </w:p>
        </w:tc>
      </w:tr>
    </w:tbl>
    <w:p w14:paraId="45932256" w14:textId="77777777" w:rsidR="00330A79" w:rsidRDefault="00B776A4"/>
    <w:sectPr w:rsidR="0033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A4"/>
    <w:rsid w:val="0046618B"/>
    <w:rsid w:val="00AB7DCC"/>
    <w:rsid w:val="00B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F512"/>
  <w15:chartTrackingRefBased/>
  <w15:docId w15:val="{F05633F0-93C5-435A-BF75-3A79CD1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12" ma:contentTypeDescription="Een nieuw document maken." ma:contentTypeScope="" ma:versionID="f4905b5c02dae719f736af40131b3617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0e5d7cdf9f7e42c467f881af52c77282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AF852-8901-42C0-A086-F4389E67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E2183-6B68-44DA-9E17-36B928EB2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83FC9-59A5-405F-9B15-F3D7601DA91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51c7e32d-a745-4a75-8e21-eff2b8c41a9b"/>
    <ds:schemaRef ds:uri="d4c8b0ae-4dd6-45bf-b65a-d27506613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Hoogland</dc:creator>
  <cp:keywords/>
  <dc:description/>
  <cp:lastModifiedBy>Monique Hoogland</cp:lastModifiedBy>
  <cp:revision>1</cp:revision>
  <dcterms:created xsi:type="dcterms:W3CDTF">2020-09-14T11:45:00Z</dcterms:created>
  <dcterms:modified xsi:type="dcterms:W3CDTF">2020-09-14T11:53:00Z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